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2D0C" w14:textId="7F8F27E1" w:rsidR="00F636F3" w:rsidRDefault="00AB7923" w:rsidP="00F636F3">
      <w:pPr>
        <w:jc w:val="center"/>
        <w:rPr>
          <w:b/>
          <w:sz w:val="36"/>
          <w:szCs w:val="36"/>
        </w:rPr>
      </w:pPr>
      <w:r>
        <w:rPr>
          <w:b/>
          <w:sz w:val="36"/>
          <w:szCs w:val="36"/>
        </w:rPr>
        <w:t xml:space="preserve">Procès-verbal du </w:t>
      </w:r>
      <w:r w:rsidR="00F636F3" w:rsidRPr="00AB7923">
        <w:rPr>
          <w:b/>
          <w:sz w:val="36"/>
          <w:szCs w:val="36"/>
        </w:rPr>
        <w:t xml:space="preserve">Conseil Municipal du </w:t>
      </w:r>
      <w:r w:rsidR="00420645">
        <w:rPr>
          <w:b/>
          <w:sz w:val="36"/>
          <w:szCs w:val="36"/>
        </w:rPr>
        <w:t>28 mars 2025</w:t>
      </w:r>
    </w:p>
    <w:p w14:paraId="6DB8A85A" w14:textId="77777777" w:rsidR="00BD2692" w:rsidRDefault="00BD2692" w:rsidP="00F636F3">
      <w:pPr>
        <w:jc w:val="center"/>
        <w:rPr>
          <w:b/>
          <w:sz w:val="28"/>
          <w:szCs w:val="28"/>
        </w:rPr>
      </w:pPr>
    </w:p>
    <w:p w14:paraId="3B98FB4E" w14:textId="77777777" w:rsidR="00420645" w:rsidRDefault="00420645" w:rsidP="00420645">
      <w:pPr>
        <w:tabs>
          <w:tab w:val="left" w:pos="2835"/>
        </w:tabs>
        <w:autoSpaceDE w:val="0"/>
        <w:autoSpaceDN w:val="0"/>
        <w:adjustRightInd w:val="0"/>
        <w:jc w:val="both"/>
        <w:rPr>
          <w:rFonts w:ascii="Tahoma" w:hAnsi="Tahoma" w:cs="Tahoma"/>
          <w:sz w:val="18"/>
          <w:szCs w:val="20"/>
        </w:rPr>
      </w:pPr>
      <w:r>
        <w:rPr>
          <w:rFonts w:ascii="Tahoma" w:hAnsi="Tahoma" w:cs="Tahoma"/>
          <w:b/>
          <w:bCs/>
          <w:sz w:val="18"/>
          <w:szCs w:val="20"/>
          <w:u w:val="single"/>
        </w:rPr>
        <w:t>PRESENTS</w:t>
      </w:r>
      <w:r>
        <w:rPr>
          <w:rFonts w:ascii="Tahoma" w:hAnsi="Tahoma" w:cs="Tahoma"/>
          <w:sz w:val="18"/>
          <w:szCs w:val="20"/>
        </w:rPr>
        <w:t> : Séverine CELLE - Jean-Yves CHAZALLON - André DEFAY - Philippe DELABRE - Gérald GIBAUD -</w:t>
      </w:r>
      <w:r>
        <w:rPr>
          <w:rFonts w:ascii="Tahoma" w:hAnsi="Tahoma" w:cs="Tahoma"/>
          <w:bCs/>
          <w:sz w:val="18"/>
          <w:szCs w:val="20"/>
        </w:rPr>
        <w:t xml:space="preserve"> </w:t>
      </w:r>
      <w:r>
        <w:rPr>
          <w:rFonts w:ascii="Tahoma" w:hAnsi="Tahoma" w:cs="Tahoma"/>
          <w:sz w:val="18"/>
          <w:szCs w:val="20"/>
        </w:rPr>
        <w:t xml:space="preserve">Sonia MAUREL - </w:t>
      </w:r>
      <w:r>
        <w:rPr>
          <w:rFonts w:ascii="Tahoma" w:hAnsi="Tahoma" w:cs="Tahoma"/>
          <w:bCs/>
          <w:sz w:val="18"/>
          <w:szCs w:val="20"/>
        </w:rPr>
        <w:t>Virginie MONTES -</w:t>
      </w:r>
      <w:r>
        <w:rPr>
          <w:rFonts w:ascii="Tahoma" w:hAnsi="Tahoma" w:cs="Tahoma"/>
          <w:sz w:val="18"/>
          <w:szCs w:val="20"/>
        </w:rPr>
        <w:t xml:space="preserve"> Catherine MOREL - Lionel PEYRELONG </w:t>
      </w:r>
    </w:p>
    <w:p w14:paraId="76EDA23E" w14:textId="77777777" w:rsidR="00420645" w:rsidRDefault="00420645" w:rsidP="00420645">
      <w:pPr>
        <w:tabs>
          <w:tab w:val="left" w:pos="2835"/>
        </w:tabs>
        <w:autoSpaceDE w:val="0"/>
        <w:autoSpaceDN w:val="0"/>
        <w:adjustRightInd w:val="0"/>
        <w:jc w:val="both"/>
      </w:pPr>
      <w:r>
        <w:rPr>
          <w:rFonts w:ascii="Tahoma" w:hAnsi="Tahoma" w:cs="Tahoma"/>
          <w:b/>
          <w:bCs/>
          <w:sz w:val="18"/>
          <w:szCs w:val="20"/>
          <w:u w:val="single"/>
        </w:rPr>
        <w:t>ABSENTS</w:t>
      </w:r>
      <w:r>
        <w:rPr>
          <w:rFonts w:ascii="Tahoma" w:hAnsi="Tahoma" w:cs="Tahoma"/>
          <w:b/>
          <w:bCs/>
          <w:sz w:val="18"/>
          <w:szCs w:val="20"/>
        </w:rPr>
        <w:t> :</w:t>
      </w:r>
      <w:r>
        <w:rPr>
          <w:rFonts w:ascii="Tahoma" w:hAnsi="Tahoma" w:cs="Tahoma"/>
          <w:sz w:val="18"/>
          <w:szCs w:val="20"/>
        </w:rPr>
        <w:t xml:space="preserve"> </w:t>
      </w:r>
    </w:p>
    <w:p w14:paraId="15762C99" w14:textId="77777777" w:rsidR="00420645" w:rsidRDefault="00420645" w:rsidP="00420645">
      <w:pPr>
        <w:tabs>
          <w:tab w:val="left" w:pos="2835"/>
        </w:tabs>
        <w:autoSpaceDE w:val="0"/>
        <w:autoSpaceDN w:val="0"/>
        <w:adjustRightInd w:val="0"/>
        <w:jc w:val="both"/>
        <w:rPr>
          <w:rFonts w:ascii="Tahoma" w:hAnsi="Tahoma" w:cs="Tahoma"/>
          <w:sz w:val="18"/>
          <w:szCs w:val="20"/>
        </w:rPr>
      </w:pPr>
      <w:r>
        <w:rPr>
          <w:rFonts w:ascii="Tahoma" w:hAnsi="Tahoma" w:cs="Tahoma"/>
          <w:b/>
          <w:sz w:val="18"/>
          <w:szCs w:val="20"/>
          <w:u w:val="single"/>
        </w:rPr>
        <w:t>EXCUSES</w:t>
      </w:r>
      <w:r>
        <w:rPr>
          <w:rFonts w:ascii="Tahoma" w:hAnsi="Tahoma" w:cs="Tahoma"/>
          <w:b/>
          <w:sz w:val="18"/>
          <w:szCs w:val="20"/>
        </w:rPr>
        <w:t> :</w:t>
      </w:r>
      <w:r>
        <w:rPr>
          <w:rFonts w:ascii="Tahoma" w:hAnsi="Tahoma" w:cs="Tahoma"/>
          <w:sz w:val="18"/>
          <w:szCs w:val="20"/>
        </w:rPr>
        <w:t xml:space="preserve">  Catherine MATHIEU - Jean-Baptiste SANGLARD</w:t>
      </w:r>
    </w:p>
    <w:p w14:paraId="719997A9" w14:textId="77777777" w:rsidR="00420645" w:rsidRDefault="00420645" w:rsidP="00420645">
      <w:pPr>
        <w:tabs>
          <w:tab w:val="left" w:pos="2835"/>
        </w:tabs>
        <w:autoSpaceDE w:val="0"/>
        <w:autoSpaceDN w:val="0"/>
        <w:adjustRightInd w:val="0"/>
        <w:jc w:val="both"/>
        <w:rPr>
          <w:rFonts w:ascii="Tahoma" w:hAnsi="Tahoma" w:cs="Tahoma"/>
          <w:bCs/>
          <w:sz w:val="18"/>
          <w:szCs w:val="20"/>
        </w:rPr>
      </w:pPr>
      <w:r>
        <w:rPr>
          <w:rFonts w:ascii="Tahoma" w:hAnsi="Tahoma" w:cs="Tahoma"/>
          <w:b/>
          <w:bCs/>
          <w:sz w:val="18"/>
          <w:szCs w:val="20"/>
          <w:u w:val="single"/>
        </w:rPr>
        <w:t>SECRETAIRE DE SEANCE</w:t>
      </w:r>
      <w:r>
        <w:rPr>
          <w:rFonts w:ascii="Tahoma" w:hAnsi="Tahoma" w:cs="Tahoma"/>
          <w:b/>
          <w:bCs/>
          <w:sz w:val="18"/>
          <w:szCs w:val="20"/>
        </w:rPr>
        <w:t> </w:t>
      </w:r>
      <w:r>
        <w:rPr>
          <w:rFonts w:ascii="Tahoma" w:hAnsi="Tahoma" w:cs="Tahoma"/>
          <w:bCs/>
          <w:sz w:val="18"/>
          <w:szCs w:val="20"/>
        </w:rPr>
        <w:t>: Virginie MONTES</w:t>
      </w:r>
    </w:p>
    <w:p w14:paraId="284C61BD" w14:textId="77777777" w:rsidR="00363880" w:rsidRDefault="00363880" w:rsidP="00BD2692">
      <w:pPr>
        <w:tabs>
          <w:tab w:val="left" w:pos="2835"/>
        </w:tabs>
        <w:autoSpaceDE w:val="0"/>
        <w:autoSpaceDN w:val="0"/>
        <w:adjustRightInd w:val="0"/>
        <w:jc w:val="both"/>
        <w:rPr>
          <w:rFonts w:ascii="Tahoma" w:hAnsi="Tahoma" w:cs="Tahoma"/>
          <w:b/>
          <w:sz w:val="18"/>
          <w:szCs w:val="20"/>
        </w:rPr>
      </w:pPr>
    </w:p>
    <w:p w14:paraId="7A97A8B5" w14:textId="76CBF2BB" w:rsidR="00AB7923" w:rsidRPr="00D15F49" w:rsidRDefault="00AB7923" w:rsidP="00AB7923">
      <w:pPr>
        <w:rPr>
          <w:b/>
          <w:sz w:val="28"/>
          <w:szCs w:val="28"/>
        </w:rPr>
      </w:pPr>
      <w:r w:rsidRPr="00D15F49">
        <w:rPr>
          <w:b/>
          <w:sz w:val="28"/>
          <w:szCs w:val="28"/>
        </w:rPr>
        <w:t>Le conseil municipal approuve la séance du</w:t>
      </w:r>
      <w:r w:rsidR="00420645">
        <w:rPr>
          <w:b/>
          <w:sz w:val="28"/>
          <w:szCs w:val="28"/>
        </w:rPr>
        <w:t xml:space="preserve"> 28 février 2025</w:t>
      </w:r>
    </w:p>
    <w:p w14:paraId="143A4F73" w14:textId="77777777" w:rsidR="00F636F3" w:rsidRDefault="00F636F3" w:rsidP="00F636F3">
      <w:pPr>
        <w:jc w:val="both"/>
        <w:rPr>
          <w:bCs/>
          <w:sz w:val="28"/>
          <w:szCs w:val="28"/>
        </w:rPr>
      </w:pPr>
    </w:p>
    <w:p w14:paraId="68EEBAF8" w14:textId="36EBF787" w:rsidR="00AB7923" w:rsidRDefault="00BD2692" w:rsidP="00F636F3">
      <w:pPr>
        <w:jc w:val="both"/>
        <w:rPr>
          <w:b/>
          <w:sz w:val="32"/>
          <w:szCs w:val="32"/>
        </w:rPr>
      </w:pPr>
      <w:r w:rsidRPr="00BD2692">
        <w:rPr>
          <w:b/>
          <w:sz w:val="32"/>
          <w:szCs w:val="32"/>
        </w:rPr>
        <w:t>Ordre du jour :</w:t>
      </w:r>
    </w:p>
    <w:p w14:paraId="08CB07A3" w14:textId="77777777" w:rsidR="00C87DBF" w:rsidRDefault="00C87DBF" w:rsidP="00F636F3">
      <w:pPr>
        <w:jc w:val="both"/>
        <w:rPr>
          <w:b/>
          <w:sz w:val="32"/>
          <w:szCs w:val="32"/>
        </w:rPr>
      </w:pPr>
    </w:p>
    <w:p w14:paraId="2048535B" w14:textId="77777777" w:rsidR="00420645" w:rsidRPr="00420645" w:rsidRDefault="00420645" w:rsidP="00420645">
      <w:pPr>
        <w:numPr>
          <w:ilvl w:val="0"/>
          <w:numId w:val="5"/>
        </w:numPr>
        <w:rPr>
          <w:b/>
          <w:u w:val="single"/>
        </w:rPr>
      </w:pPr>
      <w:r w:rsidRPr="00420645">
        <w:rPr>
          <w:b/>
          <w:u w:val="single"/>
        </w:rPr>
        <w:t>Vote des comptes financiers uniques 2024</w:t>
      </w:r>
    </w:p>
    <w:p w14:paraId="11B28A20" w14:textId="77777777" w:rsidR="00420645" w:rsidRPr="00420645" w:rsidRDefault="00420645" w:rsidP="00420645">
      <w:pPr>
        <w:ind w:left="360"/>
      </w:pPr>
      <w:r w:rsidRPr="00420645">
        <w:t>Mr le Maire présente au conseil municipal les comptes financiers uniques 2024 qui représentent les dépenses et les recettes réalisées en 2024 aussi bien en fonctionnement qu’en investissement. Le conseil municipal approuve ces comptes dont les résultats de l’exercice (excédents ou déficits) sont les suivants :</w:t>
      </w:r>
    </w:p>
    <w:p w14:paraId="0969ACB8" w14:textId="77777777" w:rsidR="00420645" w:rsidRPr="00420645" w:rsidRDefault="00420645" w:rsidP="00420645">
      <w:pPr>
        <w:rPr>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986"/>
        <w:gridCol w:w="2873"/>
      </w:tblGrid>
      <w:tr w:rsidR="00420645" w:rsidRPr="00420645" w14:paraId="7304B11E" w14:textId="77777777" w:rsidTr="006A16D8">
        <w:trPr>
          <w:trHeight w:val="398"/>
        </w:trPr>
        <w:tc>
          <w:tcPr>
            <w:tcW w:w="3167" w:type="dxa"/>
            <w:shd w:val="clear" w:color="auto" w:fill="auto"/>
          </w:tcPr>
          <w:p w14:paraId="3613C013" w14:textId="77777777" w:rsidR="00420645" w:rsidRPr="00420645" w:rsidRDefault="00420645" w:rsidP="00420645">
            <w:pPr>
              <w:jc w:val="both"/>
              <w:rPr>
                <w:b/>
              </w:rPr>
            </w:pPr>
            <w:r w:rsidRPr="00420645">
              <w:rPr>
                <w:b/>
              </w:rPr>
              <w:t>BUDGETS</w:t>
            </w:r>
          </w:p>
        </w:tc>
        <w:tc>
          <w:tcPr>
            <w:tcW w:w="3318" w:type="dxa"/>
            <w:shd w:val="clear" w:color="auto" w:fill="auto"/>
          </w:tcPr>
          <w:p w14:paraId="2EBC5958" w14:textId="77777777" w:rsidR="00420645" w:rsidRPr="00420645" w:rsidRDefault="00420645" w:rsidP="00420645">
            <w:pPr>
              <w:jc w:val="both"/>
              <w:rPr>
                <w:b/>
              </w:rPr>
            </w:pPr>
            <w:r w:rsidRPr="00420645">
              <w:rPr>
                <w:b/>
              </w:rPr>
              <w:t>FONCTIONNEMENT</w:t>
            </w:r>
          </w:p>
        </w:tc>
        <w:tc>
          <w:tcPr>
            <w:tcW w:w="3283" w:type="dxa"/>
            <w:shd w:val="clear" w:color="auto" w:fill="auto"/>
          </w:tcPr>
          <w:p w14:paraId="0ABC408A" w14:textId="77777777" w:rsidR="00420645" w:rsidRPr="00420645" w:rsidRDefault="00420645" w:rsidP="00420645">
            <w:pPr>
              <w:jc w:val="both"/>
              <w:rPr>
                <w:b/>
              </w:rPr>
            </w:pPr>
            <w:r w:rsidRPr="00420645">
              <w:rPr>
                <w:b/>
              </w:rPr>
              <w:t>INVESTISSEMENT</w:t>
            </w:r>
          </w:p>
        </w:tc>
      </w:tr>
      <w:tr w:rsidR="00420645" w:rsidRPr="00420645" w14:paraId="4FF69254" w14:textId="77777777" w:rsidTr="006A16D8">
        <w:tc>
          <w:tcPr>
            <w:tcW w:w="3167" w:type="dxa"/>
            <w:shd w:val="clear" w:color="auto" w:fill="auto"/>
          </w:tcPr>
          <w:p w14:paraId="160BB493" w14:textId="77777777" w:rsidR="00420645" w:rsidRPr="00420645" w:rsidRDefault="00420645" w:rsidP="00420645">
            <w:pPr>
              <w:jc w:val="both"/>
            </w:pPr>
            <w:r w:rsidRPr="00420645">
              <w:t>Budget commune</w:t>
            </w:r>
          </w:p>
        </w:tc>
        <w:tc>
          <w:tcPr>
            <w:tcW w:w="3318" w:type="dxa"/>
            <w:shd w:val="clear" w:color="auto" w:fill="auto"/>
          </w:tcPr>
          <w:p w14:paraId="5A1B3BCD" w14:textId="77777777" w:rsidR="00420645" w:rsidRPr="00420645" w:rsidRDefault="00420645" w:rsidP="00420645">
            <w:pPr>
              <w:jc w:val="center"/>
            </w:pPr>
            <w:r w:rsidRPr="00420645">
              <w:t>+ 170 364.26 €</w:t>
            </w:r>
          </w:p>
        </w:tc>
        <w:tc>
          <w:tcPr>
            <w:tcW w:w="3283" w:type="dxa"/>
            <w:shd w:val="clear" w:color="auto" w:fill="auto"/>
          </w:tcPr>
          <w:p w14:paraId="61D1FD7D" w14:textId="77777777" w:rsidR="00420645" w:rsidRPr="00420645" w:rsidRDefault="00420645" w:rsidP="00420645">
            <w:pPr>
              <w:ind w:left="360"/>
              <w:jc w:val="center"/>
            </w:pPr>
            <w:r w:rsidRPr="00420645">
              <w:t>+ 146 329.54 €</w:t>
            </w:r>
          </w:p>
        </w:tc>
      </w:tr>
      <w:tr w:rsidR="00420645" w:rsidRPr="00420645" w14:paraId="6DBE97D6" w14:textId="77777777" w:rsidTr="006A16D8">
        <w:tc>
          <w:tcPr>
            <w:tcW w:w="3167" w:type="dxa"/>
            <w:shd w:val="clear" w:color="auto" w:fill="auto"/>
          </w:tcPr>
          <w:p w14:paraId="41588C43" w14:textId="77777777" w:rsidR="00420645" w:rsidRPr="00420645" w:rsidRDefault="00420645" w:rsidP="00420645">
            <w:pPr>
              <w:jc w:val="both"/>
            </w:pPr>
            <w:r w:rsidRPr="00420645">
              <w:t>Budget eau</w:t>
            </w:r>
          </w:p>
        </w:tc>
        <w:tc>
          <w:tcPr>
            <w:tcW w:w="3318" w:type="dxa"/>
            <w:shd w:val="clear" w:color="auto" w:fill="auto"/>
          </w:tcPr>
          <w:p w14:paraId="7D09C7D1" w14:textId="77777777" w:rsidR="00420645" w:rsidRPr="00420645" w:rsidRDefault="00420645" w:rsidP="00420645">
            <w:pPr>
              <w:jc w:val="center"/>
            </w:pPr>
            <w:r w:rsidRPr="00420645">
              <w:t xml:space="preserve"> + 65 757.26 €</w:t>
            </w:r>
          </w:p>
        </w:tc>
        <w:tc>
          <w:tcPr>
            <w:tcW w:w="3283" w:type="dxa"/>
            <w:shd w:val="clear" w:color="auto" w:fill="auto"/>
          </w:tcPr>
          <w:p w14:paraId="7B43A930" w14:textId="77777777" w:rsidR="00420645" w:rsidRPr="00420645" w:rsidRDefault="00420645" w:rsidP="00420645">
            <w:r w:rsidRPr="00420645">
              <w:t xml:space="preserve">                  -  54 722.01 €</w:t>
            </w:r>
          </w:p>
        </w:tc>
      </w:tr>
      <w:tr w:rsidR="00420645" w:rsidRPr="00420645" w14:paraId="49A97696" w14:textId="77777777" w:rsidTr="006A16D8">
        <w:tc>
          <w:tcPr>
            <w:tcW w:w="3167" w:type="dxa"/>
            <w:shd w:val="clear" w:color="auto" w:fill="auto"/>
          </w:tcPr>
          <w:p w14:paraId="43D3E141" w14:textId="77777777" w:rsidR="00420645" w:rsidRPr="00420645" w:rsidRDefault="00420645" w:rsidP="00420645">
            <w:pPr>
              <w:jc w:val="both"/>
            </w:pPr>
            <w:r w:rsidRPr="00420645">
              <w:t>Budget assainissement</w:t>
            </w:r>
          </w:p>
        </w:tc>
        <w:tc>
          <w:tcPr>
            <w:tcW w:w="3318" w:type="dxa"/>
            <w:shd w:val="clear" w:color="auto" w:fill="auto"/>
          </w:tcPr>
          <w:p w14:paraId="327565D6" w14:textId="77777777" w:rsidR="00420645" w:rsidRPr="00420645" w:rsidRDefault="00420645" w:rsidP="00420645">
            <w:pPr>
              <w:ind w:left="720"/>
            </w:pPr>
            <w:r w:rsidRPr="00420645">
              <w:t xml:space="preserve">     + 4 518.15 €</w:t>
            </w:r>
          </w:p>
        </w:tc>
        <w:tc>
          <w:tcPr>
            <w:tcW w:w="3283" w:type="dxa"/>
            <w:shd w:val="clear" w:color="auto" w:fill="auto"/>
          </w:tcPr>
          <w:p w14:paraId="5CD099CF" w14:textId="77777777" w:rsidR="00420645" w:rsidRPr="00420645" w:rsidRDefault="00420645" w:rsidP="00420645">
            <w:pPr>
              <w:jc w:val="center"/>
            </w:pPr>
            <w:r w:rsidRPr="00420645">
              <w:t xml:space="preserve">      + 105 658.17 €</w:t>
            </w:r>
          </w:p>
        </w:tc>
      </w:tr>
      <w:tr w:rsidR="00420645" w:rsidRPr="00420645" w14:paraId="48F8AB68" w14:textId="77777777" w:rsidTr="006A16D8">
        <w:tc>
          <w:tcPr>
            <w:tcW w:w="3167" w:type="dxa"/>
            <w:shd w:val="clear" w:color="auto" w:fill="auto"/>
          </w:tcPr>
          <w:p w14:paraId="053730E9" w14:textId="77777777" w:rsidR="00420645" w:rsidRPr="00420645" w:rsidRDefault="00420645" w:rsidP="00420645">
            <w:pPr>
              <w:jc w:val="both"/>
            </w:pPr>
            <w:r w:rsidRPr="00420645">
              <w:t>Budget centre d’accueil</w:t>
            </w:r>
          </w:p>
        </w:tc>
        <w:tc>
          <w:tcPr>
            <w:tcW w:w="3318" w:type="dxa"/>
            <w:shd w:val="clear" w:color="auto" w:fill="auto"/>
          </w:tcPr>
          <w:p w14:paraId="315C1B02" w14:textId="77777777" w:rsidR="00420645" w:rsidRPr="00420645" w:rsidRDefault="00420645" w:rsidP="00420645">
            <w:r w:rsidRPr="00420645">
              <w:t xml:space="preserve">               + 23 202.10 €</w:t>
            </w:r>
          </w:p>
        </w:tc>
        <w:tc>
          <w:tcPr>
            <w:tcW w:w="3283" w:type="dxa"/>
            <w:shd w:val="clear" w:color="auto" w:fill="auto"/>
          </w:tcPr>
          <w:p w14:paraId="3584F6B1" w14:textId="77777777" w:rsidR="00420645" w:rsidRPr="00420645" w:rsidRDefault="00420645" w:rsidP="00420645">
            <w:r w:rsidRPr="00420645">
              <w:t xml:space="preserve">                   - 60 839.66 €</w:t>
            </w:r>
          </w:p>
        </w:tc>
      </w:tr>
    </w:tbl>
    <w:p w14:paraId="06D49D16" w14:textId="77777777" w:rsidR="00420645" w:rsidRPr="00420645" w:rsidRDefault="00420645" w:rsidP="00420645">
      <w:pPr>
        <w:rPr>
          <w:bCs/>
        </w:rPr>
      </w:pPr>
    </w:p>
    <w:p w14:paraId="259B027A" w14:textId="77777777" w:rsidR="00420645" w:rsidRPr="00420645" w:rsidRDefault="00420645" w:rsidP="00420645">
      <w:pPr>
        <w:ind w:left="360"/>
        <w:rPr>
          <w:bCs/>
        </w:rPr>
      </w:pPr>
      <w:r w:rsidRPr="00420645">
        <w:rPr>
          <w:bCs/>
        </w:rPr>
        <w:t>Le déficit du budget eau s’explique par la réalisation du diagnostic des réseaux dont les factures ont été payées en 2024 mais dont les subventions n’ont pas été totalement versées.</w:t>
      </w:r>
    </w:p>
    <w:p w14:paraId="46BABF9D" w14:textId="77777777" w:rsidR="00420645" w:rsidRPr="00420645" w:rsidRDefault="00420645" w:rsidP="00420645">
      <w:pPr>
        <w:ind w:left="360"/>
        <w:rPr>
          <w:bCs/>
        </w:rPr>
      </w:pPr>
      <w:r w:rsidRPr="00420645">
        <w:rPr>
          <w:bCs/>
        </w:rPr>
        <w:t>Le déficit du centre d’accueil s’explique par les travaux réalisés.</w:t>
      </w:r>
    </w:p>
    <w:p w14:paraId="0555B3D8" w14:textId="77777777" w:rsidR="00420645" w:rsidRPr="00420645" w:rsidRDefault="00420645" w:rsidP="00420645">
      <w:pPr>
        <w:rPr>
          <w:bCs/>
        </w:rPr>
      </w:pPr>
    </w:p>
    <w:p w14:paraId="43E115B9" w14:textId="77777777" w:rsidR="00420645" w:rsidRPr="00420645" w:rsidRDefault="00420645" w:rsidP="00420645">
      <w:pPr>
        <w:numPr>
          <w:ilvl w:val="0"/>
          <w:numId w:val="4"/>
        </w:numPr>
        <w:rPr>
          <w:b/>
          <w:u w:val="single"/>
        </w:rPr>
      </w:pPr>
      <w:r w:rsidRPr="00420645">
        <w:rPr>
          <w:b/>
          <w:u w:val="single"/>
        </w:rPr>
        <w:t>Vote des budgets 2025</w:t>
      </w:r>
    </w:p>
    <w:p w14:paraId="2D0B3326" w14:textId="77777777" w:rsidR="00420645" w:rsidRPr="00420645" w:rsidRDefault="00420645" w:rsidP="00420645">
      <w:pPr>
        <w:ind w:left="720"/>
        <w:jc w:val="both"/>
      </w:pPr>
      <w:r w:rsidRPr="00420645">
        <w:t>Monsieur le Maire présente les budgets 2025. Ils s’équilibrent de la manière suivante :</w:t>
      </w:r>
    </w:p>
    <w:p w14:paraId="21B60396" w14:textId="77777777" w:rsidR="00420645" w:rsidRPr="00420645" w:rsidRDefault="00420645" w:rsidP="00420645">
      <w:pPr>
        <w:ind w:left="720"/>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876"/>
        <w:gridCol w:w="2814"/>
      </w:tblGrid>
      <w:tr w:rsidR="00420645" w:rsidRPr="00420645" w14:paraId="5250D13C" w14:textId="77777777" w:rsidTr="006A16D8">
        <w:tc>
          <w:tcPr>
            <w:tcW w:w="2849" w:type="dxa"/>
            <w:shd w:val="clear" w:color="auto" w:fill="auto"/>
          </w:tcPr>
          <w:p w14:paraId="5EB44F9B" w14:textId="77777777" w:rsidR="00420645" w:rsidRPr="00420645" w:rsidRDefault="00420645" w:rsidP="00420645">
            <w:pPr>
              <w:autoSpaceDE w:val="0"/>
              <w:autoSpaceDN w:val="0"/>
              <w:adjustRightInd w:val="0"/>
              <w:jc w:val="center"/>
              <w:rPr>
                <w:b/>
                <w:color w:val="000000"/>
              </w:rPr>
            </w:pPr>
            <w:r w:rsidRPr="00420645">
              <w:rPr>
                <w:b/>
                <w:color w:val="000000"/>
              </w:rPr>
              <w:t>BUDGET</w:t>
            </w:r>
          </w:p>
        </w:tc>
        <w:tc>
          <w:tcPr>
            <w:tcW w:w="2936" w:type="dxa"/>
            <w:shd w:val="clear" w:color="auto" w:fill="auto"/>
          </w:tcPr>
          <w:p w14:paraId="465EDD67" w14:textId="77777777" w:rsidR="00420645" w:rsidRPr="00420645" w:rsidRDefault="00420645" w:rsidP="00420645">
            <w:pPr>
              <w:autoSpaceDE w:val="0"/>
              <w:autoSpaceDN w:val="0"/>
              <w:adjustRightInd w:val="0"/>
              <w:jc w:val="center"/>
              <w:rPr>
                <w:b/>
                <w:color w:val="000000"/>
              </w:rPr>
            </w:pPr>
            <w:r w:rsidRPr="00420645">
              <w:rPr>
                <w:b/>
                <w:color w:val="000000"/>
              </w:rPr>
              <w:t>FONCTIONNEMENT</w:t>
            </w:r>
          </w:p>
        </w:tc>
        <w:tc>
          <w:tcPr>
            <w:tcW w:w="2903" w:type="dxa"/>
            <w:shd w:val="clear" w:color="auto" w:fill="auto"/>
          </w:tcPr>
          <w:p w14:paraId="40608811" w14:textId="77777777" w:rsidR="00420645" w:rsidRPr="00420645" w:rsidRDefault="00420645" w:rsidP="00420645">
            <w:pPr>
              <w:autoSpaceDE w:val="0"/>
              <w:autoSpaceDN w:val="0"/>
              <w:adjustRightInd w:val="0"/>
              <w:jc w:val="center"/>
              <w:rPr>
                <w:b/>
                <w:color w:val="000000"/>
              </w:rPr>
            </w:pPr>
            <w:r w:rsidRPr="00420645">
              <w:rPr>
                <w:b/>
                <w:color w:val="000000"/>
              </w:rPr>
              <w:t>INVESTISSEMENT</w:t>
            </w:r>
          </w:p>
        </w:tc>
      </w:tr>
      <w:tr w:rsidR="00420645" w:rsidRPr="00420645" w14:paraId="16B45472" w14:textId="77777777" w:rsidTr="006A16D8">
        <w:tc>
          <w:tcPr>
            <w:tcW w:w="2849" w:type="dxa"/>
            <w:shd w:val="clear" w:color="auto" w:fill="auto"/>
          </w:tcPr>
          <w:p w14:paraId="0177DB91" w14:textId="77777777" w:rsidR="00420645" w:rsidRPr="00420645" w:rsidRDefault="00420645" w:rsidP="00420645">
            <w:pPr>
              <w:autoSpaceDE w:val="0"/>
              <w:autoSpaceDN w:val="0"/>
              <w:adjustRightInd w:val="0"/>
              <w:rPr>
                <w:color w:val="000000"/>
              </w:rPr>
            </w:pPr>
            <w:r w:rsidRPr="00420645">
              <w:rPr>
                <w:color w:val="000000"/>
              </w:rPr>
              <w:t>Commune</w:t>
            </w:r>
          </w:p>
        </w:tc>
        <w:tc>
          <w:tcPr>
            <w:tcW w:w="2936" w:type="dxa"/>
            <w:shd w:val="clear" w:color="auto" w:fill="auto"/>
          </w:tcPr>
          <w:p w14:paraId="6E2F0B4F" w14:textId="77777777" w:rsidR="00420645" w:rsidRPr="00420645" w:rsidRDefault="00420645" w:rsidP="00420645">
            <w:pPr>
              <w:autoSpaceDE w:val="0"/>
              <w:autoSpaceDN w:val="0"/>
              <w:adjustRightInd w:val="0"/>
              <w:jc w:val="center"/>
              <w:rPr>
                <w:color w:val="000000"/>
              </w:rPr>
            </w:pPr>
            <w:r w:rsidRPr="00420645">
              <w:rPr>
                <w:color w:val="000000"/>
              </w:rPr>
              <w:t>807 973 €</w:t>
            </w:r>
          </w:p>
        </w:tc>
        <w:tc>
          <w:tcPr>
            <w:tcW w:w="2903" w:type="dxa"/>
            <w:shd w:val="clear" w:color="auto" w:fill="auto"/>
          </w:tcPr>
          <w:p w14:paraId="1DD1DA67" w14:textId="77777777" w:rsidR="00420645" w:rsidRPr="00420645" w:rsidRDefault="00420645" w:rsidP="00420645">
            <w:pPr>
              <w:autoSpaceDE w:val="0"/>
              <w:autoSpaceDN w:val="0"/>
              <w:adjustRightInd w:val="0"/>
              <w:jc w:val="center"/>
              <w:rPr>
                <w:color w:val="000000"/>
              </w:rPr>
            </w:pPr>
            <w:r w:rsidRPr="00420645">
              <w:rPr>
                <w:color w:val="000000"/>
              </w:rPr>
              <w:t>661 867 €</w:t>
            </w:r>
          </w:p>
        </w:tc>
      </w:tr>
      <w:tr w:rsidR="00420645" w:rsidRPr="00420645" w14:paraId="1710B472" w14:textId="77777777" w:rsidTr="006A16D8">
        <w:tc>
          <w:tcPr>
            <w:tcW w:w="2849" w:type="dxa"/>
            <w:shd w:val="clear" w:color="auto" w:fill="auto"/>
          </w:tcPr>
          <w:p w14:paraId="1F1867A4" w14:textId="77777777" w:rsidR="00420645" w:rsidRPr="00420645" w:rsidRDefault="00420645" w:rsidP="00420645">
            <w:pPr>
              <w:autoSpaceDE w:val="0"/>
              <w:autoSpaceDN w:val="0"/>
              <w:adjustRightInd w:val="0"/>
              <w:rPr>
                <w:color w:val="000000"/>
              </w:rPr>
            </w:pPr>
            <w:r w:rsidRPr="00420645">
              <w:rPr>
                <w:color w:val="000000"/>
              </w:rPr>
              <w:t xml:space="preserve">Eau </w:t>
            </w:r>
          </w:p>
        </w:tc>
        <w:tc>
          <w:tcPr>
            <w:tcW w:w="2936" w:type="dxa"/>
            <w:shd w:val="clear" w:color="auto" w:fill="auto"/>
          </w:tcPr>
          <w:p w14:paraId="064CCA56" w14:textId="77777777" w:rsidR="00420645" w:rsidRPr="00420645" w:rsidRDefault="00420645" w:rsidP="00420645">
            <w:pPr>
              <w:autoSpaceDE w:val="0"/>
              <w:autoSpaceDN w:val="0"/>
              <w:adjustRightInd w:val="0"/>
              <w:jc w:val="center"/>
              <w:rPr>
                <w:color w:val="000000"/>
              </w:rPr>
            </w:pPr>
            <w:r w:rsidRPr="00420645">
              <w:rPr>
                <w:color w:val="000000"/>
              </w:rPr>
              <w:t>114 422 €</w:t>
            </w:r>
          </w:p>
        </w:tc>
        <w:tc>
          <w:tcPr>
            <w:tcW w:w="2903" w:type="dxa"/>
            <w:shd w:val="clear" w:color="auto" w:fill="auto"/>
          </w:tcPr>
          <w:p w14:paraId="4AFAEADB" w14:textId="77777777" w:rsidR="00420645" w:rsidRPr="00420645" w:rsidRDefault="00420645" w:rsidP="00420645">
            <w:pPr>
              <w:autoSpaceDE w:val="0"/>
              <w:autoSpaceDN w:val="0"/>
              <w:adjustRightInd w:val="0"/>
              <w:jc w:val="center"/>
              <w:rPr>
                <w:color w:val="000000"/>
              </w:rPr>
            </w:pPr>
            <w:r w:rsidRPr="00420645">
              <w:rPr>
                <w:color w:val="000000"/>
              </w:rPr>
              <w:t>272 534 €</w:t>
            </w:r>
          </w:p>
        </w:tc>
      </w:tr>
      <w:tr w:rsidR="00420645" w:rsidRPr="00420645" w14:paraId="0987DD88" w14:textId="77777777" w:rsidTr="006A16D8">
        <w:tc>
          <w:tcPr>
            <w:tcW w:w="2849" w:type="dxa"/>
            <w:shd w:val="clear" w:color="auto" w:fill="auto"/>
          </w:tcPr>
          <w:p w14:paraId="76E72791" w14:textId="77777777" w:rsidR="00420645" w:rsidRPr="00420645" w:rsidRDefault="00420645" w:rsidP="00420645">
            <w:pPr>
              <w:autoSpaceDE w:val="0"/>
              <w:autoSpaceDN w:val="0"/>
              <w:adjustRightInd w:val="0"/>
              <w:rPr>
                <w:color w:val="000000"/>
              </w:rPr>
            </w:pPr>
            <w:r w:rsidRPr="00420645">
              <w:rPr>
                <w:color w:val="000000"/>
              </w:rPr>
              <w:t>Assainissement</w:t>
            </w:r>
          </w:p>
        </w:tc>
        <w:tc>
          <w:tcPr>
            <w:tcW w:w="2936" w:type="dxa"/>
            <w:shd w:val="clear" w:color="auto" w:fill="auto"/>
          </w:tcPr>
          <w:p w14:paraId="1CE5E1AF" w14:textId="77777777" w:rsidR="00420645" w:rsidRPr="00420645" w:rsidRDefault="00420645" w:rsidP="00420645">
            <w:pPr>
              <w:autoSpaceDE w:val="0"/>
              <w:autoSpaceDN w:val="0"/>
              <w:adjustRightInd w:val="0"/>
              <w:jc w:val="center"/>
              <w:rPr>
                <w:color w:val="000000"/>
              </w:rPr>
            </w:pPr>
            <w:r w:rsidRPr="00420645">
              <w:rPr>
                <w:color w:val="000000"/>
              </w:rPr>
              <w:t xml:space="preserve">  26 375 €</w:t>
            </w:r>
          </w:p>
        </w:tc>
        <w:tc>
          <w:tcPr>
            <w:tcW w:w="2903" w:type="dxa"/>
            <w:shd w:val="clear" w:color="auto" w:fill="auto"/>
          </w:tcPr>
          <w:p w14:paraId="3A0FC1BA" w14:textId="77777777" w:rsidR="00420645" w:rsidRPr="00420645" w:rsidRDefault="00420645" w:rsidP="00420645">
            <w:pPr>
              <w:autoSpaceDE w:val="0"/>
              <w:autoSpaceDN w:val="0"/>
              <w:adjustRightInd w:val="0"/>
              <w:jc w:val="center"/>
              <w:rPr>
                <w:color w:val="000000"/>
              </w:rPr>
            </w:pPr>
            <w:r w:rsidRPr="00420645">
              <w:rPr>
                <w:color w:val="000000"/>
              </w:rPr>
              <w:t>690 630 €</w:t>
            </w:r>
          </w:p>
        </w:tc>
      </w:tr>
      <w:tr w:rsidR="00420645" w:rsidRPr="00420645" w14:paraId="5ECE8579" w14:textId="77777777" w:rsidTr="006A16D8">
        <w:tc>
          <w:tcPr>
            <w:tcW w:w="2849" w:type="dxa"/>
            <w:shd w:val="clear" w:color="auto" w:fill="auto"/>
          </w:tcPr>
          <w:p w14:paraId="3C4A5F88" w14:textId="77777777" w:rsidR="00420645" w:rsidRPr="00420645" w:rsidRDefault="00420645" w:rsidP="00420645">
            <w:pPr>
              <w:autoSpaceDE w:val="0"/>
              <w:autoSpaceDN w:val="0"/>
              <w:adjustRightInd w:val="0"/>
              <w:rPr>
                <w:color w:val="000000"/>
              </w:rPr>
            </w:pPr>
            <w:r w:rsidRPr="00420645">
              <w:rPr>
                <w:color w:val="000000"/>
              </w:rPr>
              <w:t>Centre d’accueil</w:t>
            </w:r>
          </w:p>
        </w:tc>
        <w:tc>
          <w:tcPr>
            <w:tcW w:w="2936" w:type="dxa"/>
            <w:shd w:val="clear" w:color="auto" w:fill="auto"/>
          </w:tcPr>
          <w:p w14:paraId="0C3FB5EF" w14:textId="77777777" w:rsidR="00420645" w:rsidRPr="00420645" w:rsidRDefault="00420645" w:rsidP="00420645">
            <w:pPr>
              <w:autoSpaceDE w:val="0"/>
              <w:autoSpaceDN w:val="0"/>
              <w:adjustRightInd w:val="0"/>
              <w:jc w:val="center"/>
              <w:rPr>
                <w:color w:val="000000"/>
              </w:rPr>
            </w:pPr>
            <w:r w:rsidRPr="00420645">
              <w:rPr>
                <w:color w:val="000000"/>
              </w:rPr>
              <w:t xml:space="preserve">  26 964 €</w:t>
            </w:r>
          </w:p>
        </w:tc>
        <w:tc>
          <w:tcPr>
            <w:tcW w:w="2903" w:type="dxa"/>
            <w:shd w:val="clear" w:color="auto" w:fill="auto"/>
          </w:tcPr>
          <w:p w14:paraId="033336EB" w14:textId="77777777" w:rsidR="00420645" w:rsidRPr="00420645" w:rsidRDefault="00420645" w:rsidP="00420645">
            <w:pPr>
              <w:autoSpaceDE w:val="0"/>
              <w:autoSpaceDN w:val="0"/>
              <w:adjustRightInd w:val="0"/>
              <w:jc w:val="center"/>
              <w:rPr>
                <w:color w:val="000000"/>
              </w:rPr>
            </w:pPr>
            <w:r w:rsidRPr="00420645">
              <w:rPr>
                <w:color w:val="000000"/>
              </w:rPr>
              <w:t>140 729 €</w:t>
            </w:r>
          </w:p>
        </w:tc>
      </w:tr>
    </w:tbl>
    <w:p w14:paraId="33E36454" w14:textId="77777777" w:rsidR="00420645" w:rsidRPr="00420645" w:rsidRDefault="00420645" w:rsidP="00420645">
      <w:pPr>
        <w:ind w:left="720"/>
      </w:pPr>
    </w:p>
    <w:p w14:paraId="358CAE2D" w14:textId="77777777" w:rsidR="00420645" w:rsidRPr="00420645" w:rsidRDefault="00420645" w:rsidP="00420645">
      <w:pPr>
        <w:ind w:firstLine="360"/>
        <w:jc w:val="both"/>
      </w:pPr>
      <w:r w:rsidRPr="00420645">
        <w:t>Les budgets ont été adoptés à l’unanimité.</w:t>
      </w:r>
    </w:p>
    <w:p w14:paraId="7102CF02" w14:textId="77777777" w:rsidR="00420645" w:rsidRPr="00420645" w:rsidRDefault="00420645" w:rsidP="00420645">
      <w:pPr>
        <w:ind w:left="720"/>
        <w:jc w:val="both"/>
      </w:pPr>
    </w:p>
    <w:p w14:paraId="13CC77B1" w14:textId="77777777" w:rsidR="00420645" w:rsidRPr="00420645" w:rsidRDefault="00420645" w:rsidP="00420645">
      <w:pPr>
        <w:ind w:left="360"/>
        <w:jc w:val="both"/>
      </w:pPr>
      <w:r w:rsidRPr="00420645">
        <w:t>Voici les principales dépenses d’investissement pour 2025 :</w:t>
      </w:r>
    </w:p>
    <w:p w14:paraId="26186D6F" w14:textId="77777777" w:rsidR="00420645" w:rsidRPr="00420645" w:rsidRDefault="00420645" w:rsidP="00420645">
      <w:pPr>
        <w:numPr>
          <w:ilvl w:val="0"/>
          <w:numId w:val="4"/>
        </w:numPr>
        <w:jc w:val="both"/>
        <w:rPr>
          <w:u w:val="single"/>
        </w:rPr>
      </w:pPr>
      <w:r w:rsidRPr="00420645">
        <w:rPr>
          <w:u w:val="single"/>
        </w:rPr>
        <w:t>Budget commune :</w:t>
      </w:r>
    </w:p>
    <w:p w14:paraId="122B14A4" w14:textId="77777777" w:rsidR="00420645" w:rsidRPr="00420645" w:rsidRDefault="00420645" w:rsidP="00420645">
      <w:pPr>
        <w:numPr>
          <w:ilvl w:val="3"/>
          <w:numId w:val="4"/>
        </w:numPr>
        <w:jc w:val="both"/>
        <w:rPr>
          <w:u w:val="single"/>
        </w:rPr>
      </w:pPr>
      <w:r w:rsidRPr="00420645">
        <w:t>Achat d’une épareuse : 44 400 € avec reprise de l’ancienne 4 000 €</w:t>
      </w:r>
    </w:p>
    <w:p w14:paraId="19C39ED6" w14:textId="77777777" w:rsidR="00420645" w:rsidRPr="00420645" w:rsidRDefault="00420645" w:rsidP="00420645">
      <w:pPr>
        <w:numPr>
          <w:ilvl w:val="3"/>
          <w:numId w:val="4"/>
        </w:numPr>
        <w:jc w:val="both"/>
        <w:rPr>
          <w:u w:val="single"/>
        </w:rPr>
      </w:pPr>
      <w:r w:rsidRPr="00420645">
        <w:t>Réfection de la toiture de l’auberge : 51 000 € (subvention de 26 000 €)</w:t>
      </w:r>
    </w:p>
    <w:p w14:paraId="00B1479F" w14:textId="77777777" w:rsidR="00420645" w:rsidRPr="00420645" w:rsidRDefault="00420645" w:rsidP="00420645">
      <w:pPr>
        <w:numPr>
          <w:ilvl w:val="3"/>
          <w:numId w:val="4"/>
        </w:numPr>
        <w:jc w:val="both"/>
        <w:rPr>
          <w:u w:val="single"/>
        </w:rPr>
      </w:pPr>
      <w:r w:rsidRPr="00420645">
        <w:t>Isolation des 3 pavillons et pose de volets roulants : 85 000 € (subvention de 30 000 €)</w:t>
      </w:r>
    </w:p>
    <w:p w14:paraId="2C154401" w14:textId="77777777" w:rsidR="00420645" w:rsidRPr="00420645" w:rsidRDefault="00420645" w:rsidP="00420645">
      <w:pPr>
        <w:numPr>
          <w:ilvl w:val="3"/>
          <w:numId w:val="4"/>
        </w:numPr>
        <w:jc w:val="both"/>
        <w:rPr>
          <w:u w:val="single"/>
        </w:rPr>
      </w:pPr>
      <w:r w:rsidRPr="00420645">
        <w:t>Voirie : 94 000 € (subvention de 23 000 €)</w:t>
      </w:r>
    </w:p>
    <w:p w14:paraId="46DE9868" w14:textId="77777777" w:rsidR="00420645" w:rsidRPr="00420645" w:rsidRDefault="00420645" w:rsidP="00420645">
      <w:pPr>
        <w:numPr>
          <w:ilvl w:val="3"/>
          <w:numId w:val="4"/>
        </w:numPr>
        <w:jc w:val="both"/>
        <w:rPr>
          <w:u w:val="single"/>
        </w:rPr>
      </w:pPr>
      <w:r w:rsidRPr="00420645">
        <w:t>Changement du matériel de cuisine de l’auberge (piano, hotte, four…) : 20 000 €</w:t>
      </w:r>
    </w:p>
    <w:p w14:paraId="64899C0B" w14:textId="77777777" w:rsidR="00420645" w:rsidRPr="00420645" w:rsidRDefault="00420645" w:rsidP="00420645">
      <w:pPr>
        <w:numPr>
          <w:ilvl w:val="3"/>
          <w:numId w:val="4"/>
        </w:numPr>
        <w:jc w:val="both"/>
        <w:rPr>
          <w:u w:val="single"/>
        </w:rPr>
      </w:pPr>
      <w:r w:rsidRPr="00420645">
        <w:t>Barrières place de la mairie : 14 000 €</w:t>
      </w:r>
    </w:p>
    <w:p w14:paraId="0E343475" w14:textId="77777777" w:rsidR="00420645" w:rsidRPr="00420645" w:rsidRDefault="00420645" w:rsidP="00420645">
      <w:pPr>
        <w:numPr>
          <w:ilvl w:val="3"/>
          <w:numId w:val="4"/>
        </w:numPr>
        <w:jc w:val="both"/>
        <w:rPr>
          <w:u w:val="single"/>
        </w:rPr>
      </w:pPr>
      <w:r w:rsidRPr="00420645">
        <w:t>Rénovation de l’appartement au-dessus de la mairie (peinture, radiateurs, salle de bain et pose d’une cuisine) : 31 000 €</w:t>
      </w:r>
    </w:p>
    <w:p w14:paraId="03CD138C" w14:textId="77777777" w:rsidR="00420645" w:rsidRPr="00420645" w:rsidRDefault="00420645" w:rsidP="00420645">
      <w:pPr>
        <w:numPr>
          <w:ilvl w:val="3"/>
          <w:numId w:val="4"/>
        </w:numPr>
        <w:jc w:val="both"/>
        <w:rPr>
          <w:u w:val="single"/>
        </w:rPr>
      </w:pPr>
      <w:r w:rsidRPr="00420645">
        <w:lastRenderedPageBreak/>
        <w:t>Achat d’une étrave pour le tracteur : 17 000 € (subvention de 4500 €)</w:t>
      </w:r>
    </w:p>
    <w:p w14:paraId="6D738752" w14:textId="77777777" w:rsidR="00420645" w:rsidRPr="00420645" w:rsidRDefault="00420645" w:rsidP="00420645">
      <w:pPr>
        <w:numPr>
          <w:ilvl w:val="3"/>
          <w:numId w:val="4"/>
        </w:numPr>
        <w:jc w:val="both"/>
        <w:rPr>
          <w:u w:val="single"/>
        </w:rPr>
      </w:pPr>
      <w:r w:rsidRPr="00420645">
        <w:t>Achat de divers matériel (karcher, poste à souder, meuleuse…) : 6 300 €</w:t>
      </w:r>
    </w:p>
    <w:p w14:paraId="041B4E1A" w14:textId="77777777" w:rsidR="00420645" w:rsidRPr="00420645" w:rsidRDefault="00420645" w:rsidP="00420645">
      <w:pPr>
        <w:numPr>
          <w:ilvl w:val="3"/>
          <w:numId w:val="4"/>
        </w:numPr>
        <w:jc w:val="both"/>
        <w:rPr>
          <w:u w:val="single"/>
        </w:rPr>
      </w:pPr>
      <w:r w:rsidRPr="00420645">
        <w:t>Rejointoiement du mur de la place du Bachat : 20 000 €</w:t>
      </w:r>
    </w:p>
    <w:p w14:paraId="268FF1EC" w14:textId="77777777" w:rsidR="00420645" w:rsidRPr="00420645" w:rsidRDefault="00420645" w:rsidP="00420645">
      <w:pPr>
        <w:numPr>
          <w:ilvl w:val="3"/>
          <w:numId w:val="4"/>
        </w:numPr>
        <w:jc w:val="both"/>
        <w:rPr>
          <w:u w:val="single"/>
        </w:rPr>
      </w:pPr>
      <w:r w:rsidRPr="00420645">
        <w:t>Réfection du mur du petit Bazar : 15 000 €</w:t>
      </w:r>
    </w:p>
    <w:p w14:paraId="7B40A03B" w14:textId="77777777" w:rsidR="00420645" w:rsidRPr="00420645" w:rsidRDefault="00420645" w:rsidP="00420645">
      <w:pPr>
        <w:ind w:left="928"/>
        <w:jc w:val="both"/>
      </w:pPr>
    </w:p>
    <w:p w14:paraId="794FEBCB" w14:textId="77777777" w:rsidR="00420645" w:rsidRPr="00420645" w:rsidRDefault="00420645" w:rsidP="00420645">
      <w:pPr>
        <w:numPr>
          <w:ilvl w:val="0"/>
          <w:numId w:val="4"/>
        </w:numPr>
        <w:jc w:val="both"/>
        <w:rPr>
          <w:u w:val="single"/>
        </w:rPr>
      </w:pPr>
      <w:r w:rsidRPr="00420645">
        <w:rPr>
          <w:u w:val="single"/>
        </w:rPr>
        <w:t>Budget centre d’accueil :</w:t>
      </w:r>
    </w:p>
    <w:p w14:paraId="0A15CE66" w14:textId="77777777" w:rsidR="00420645" w:rsidRPr="00420645" w:rsidRDefault="00420645" w:rsidP="00420645">
      <w:pPr>
        <w:numPr>
          <w:ilvl w:val="3"/>
          <w:numId w:val="4"/>
        </w:numPr>
        <w:jc w:val="both"/>
        <w:rPr>
          <w:u w:val="single"/>
        </w:rPr>
      </w:pPr>
      <w:r w:rsidRPr="00420645">
        <w:t>Changement des blocs de sécurité incendie : 10 000 €</w:t>
      </w:r>
    </w:p>
    <w:p w14:paraId="019BD814" w14:textId="77777777" w:rsidR="00420645" w:rsidRPr="00420645" w:rsidRDefault="00420645" w:rsidP="00420645">
      <w:pPr>
        <w:numPr>
          <w:ilvl w:val="3"/>
          <w:numId w:val="4"/>
        </w:numPr>
        <w:jc w:val="both"/>
        <w:rPr>
          <w:u w:val="single"/>
        </w:rPr>
      </w:pPr>
      <w:r w:rsidRPr="00420645">
        <w:t>Isolation du pignon sud : 24 000 €</w:t>
      </w:r>
    </w:p>
    <w:p w14:paraId="52BD3382" w14:textId="77777777" w:rsidR="00420645" w:rsidRPr="00420645" w:rsidRDefault="00420645" w:rsidP="00420645">
      <w:pPr>
        <w:numPr>
          <w:ilvl w:val="3"/>
          <w:numId w:val="4"/>
        </w:numPr>
        <w:jc w:val="both"/>
        <w:rPr>
          <w:u w:val="single"/>
        </w:rPr>
      </w:pPr>
      <w:r w:rsidRPr="00420645">
        <w:t>Changement de portes : 14 700 €</w:t>
      </w:r>
    </w:p>
    <w:p w14:paraId="3F6DDD91" w14:textId="77777777" w:rsidR="00420645" w:rsidRPr="00420645" w:rsidRDefault="00420645" w:rsidP="00420645">
      <w:pPr>
        <w:ind w:left="928"/>
        <w:jc w:val="both"/>
        <w:rPr>
          <w:u w:val="single"/>
        </w:rPr>
      </w:pPr>
    </w:p>
    <w:p w14:paraId="6375F53F" w14:textId="77777777" w:rsidR="00420645" w:rsidRPr="00420645" w:rsidRDefault="00420645" w:rsidP="00420645">
      <w:pPr>
        <w:numPr>
          <w:ilvl w:val="0"/>
          <w:numId w:val="4"/>
        </w:numPr>
        <w:jc w:val="both"/>
        <w:rPr>
          <w:u w:val="single"/>
        </w:rPr>
      </w:pPr>
      <w:r w:rsidRPr="00420645">
        <w:rPr>
          <w:u w:val="single"/>
        </w:rPr>
        <w:t>Budget eau</w:t>
      </w:r>
      <w:r w:rsidRPr="00420645">
        <w:t> :</w:t>
      </w:r>
    </w:p>
    <w:p w14:paraId="3F4E5D69" w14:textId="77777777" w:rsidR="00420645" w:rsidRPr="00420645" w:rsidRDefault="00420645" w:rsidP="00420645">
      <w:pPr>
        <w:numPr>
          <w:ilvl w:val="3"/>
          <w:numId w:val="4"/>
        </w:numPr>
        <w:jc w:val="both"/>
      </w:pPr>
      <w:r w:rsidRPr="00420645">
        <w:t xml:space="preserve">Reprise du captage de </w:t>
      </w:r>
      <w:proofErr w:type="spellStart"/>
      <w:r w:rsidRPr="00420645">
        <w:t>Matarel</w:t>
      </w:r>
      <w:proofErr w:type="spellEnd"/>
      <w:r w:rsidRPr="00420645">
        <w:t> : 160 000 € (subvention de 49 500 €)</w:t>
      </w:r>
    </w:p>
    <w:p w14:paraId="3C6251B9" w14:textId="77777777" w:rsidR="00420645" w:rsidRPr="00420645" w:rsidRDefault="00420645" w:rsidP="00420645">
      <w:pPr>
        <w:numPr>
          <w:ilvl w:val="3"/>
          <w:numId w:val="4"/>
        </w:numPr>
        <w:jc w:val="both"/>
      </w:pPr>
      <w:r w:rsidRPr="00420645">
        <w:t>Adduction d’eau le Ranchet : 18 000 € (participation de 4 000 €)</w:t>
      </w:r>
    </w:p>
    <w:p w14:paraId="22E5F21D" w14:textId="77777777" w:rsidR="00420645" w:rsidRPr="00420645" w:rsidRDefault="00420645" w:rsidP="00420645">
      <w:pPr>
        <w:ind w:left="568"/>
        <w:jc w:val="both"/>
      </w:pPr>
      <w:r w:rsidRPr="00420645">
        <w:t xml:space="preserve">Il reste à percevoir des subventions concernant des dépenses réalisées en 2024 (Diagnostic des réseaux et adduction le Bois de la Bâtie, les </w:t>
      </w:r>
      <w:proofErr w:type="spellStart"/>
      <w:r w:rsidRPr="00420645">
        <w:t>Fayolles</w:t>
      </w:r>
      <w:proofErr w:type="spellEnd"/>
      <w:r w:rsidRPr="00420645">
        <w:t>) pour un montant 84 000 €).</w:t>
      </w:r>
    </w:p>
    <w:p w14:paraId="6A85F615" w14:textId="77777777" w:rsidR="00420645" w:rsidRPr="00420645" w:rsidRDefault="00420645" w:rsidP="00420645">
      <w:pPr>
        <w:ind w:left="568"/>
        <w:jc w:val="both"/>
      </w:pPr>
    </w:p>
    <w:p w14:paraId="303E82A2" w14:textId="77777777" w:rsidR="00420645" w:rsidRPr="00420645" w:rsidRDefault="00420645" w:rsidP="00420645">
      <w:pPr>
        <w:numPr>
          <w:ilvl w:val="0"/>
          <w:numId w:val="4"/>
        </w:numPr>
        <w:jc w:val="both"/>
        <w:rPr>
          <w:u w:val="single"/>
        </w:rPr>
      </w:pPr>
      <w:r w:rsidRPr="00420645">
        <w:rPr>
          <w:u w:val="single"/>
        </w:rPr>
        <w:t>Budget assainissement :</w:t>
      </w:r>
    </w:p>
    <w:p w14:paraId="6926561E" w14:textId="77777777" w:rsidR="00420645" w:rsidRPr="00420645" w:rsidRDefault="00420645" w:rsidP="00420645">
      <w:pPr>
        <w:numPr>
          <w:ilvl w:val="3"/>
          <w:numId w:val="4"/>
        </w:numPr>
        <w:jc w:val="both"/>
      </w:pPr>
      <w:r w:rsidRPr="00420645">
        <w:t>Réhabilitation de la station d’épuration : 450 000 € (en attente de l’accord de subventions 220 000 €)</w:t>
      </w:r>
    </w:p>
    <w:p w14:paraId="7EC2B1DC" w14:textId="77777777" w:rsidR="00420645" w:rsidRPr="00420645" w:rsidRDefault="00420645" w:rsidP="00420645">
      <w:pPr>
        <w:numPr>
          <w:ilvl w:val="3"/>
          <w:numId w:val="4"/>
        </w:numPr>
        <w:jc w:val="both"/>
      </w:pPr>
      <w:r w:rsidRPr="00420645">
        <w:t>Restructuration des réseaux d’eaux usées : 218 000 € (subvention 108 000 €)</w:t>
      </w:r>
    </w:p>
    <w:p w14:paraId="0E2E3385" w14:textId="77777777" w:rsidR="00420645" w:rsidRPr="00420645" w:rsidRDefault="00420645" w:rsidP="00420645">
      <w:pPr>
        <w:ind w:left="568"/>
        <w:rPr>
          <w:bCs/>
        </w:rPr>
      </w:pPr>
      <w:r w:rsidRPr="00420645">
        <w:rPr>
          <w:bCs/>
        </w:rPr>
        <w:t>Reste à percevoir les subventions concernant la réalisation du diagnostic des réseaux dont les factures ont été payées en 2024 (26 000 €).</w:t>
      </w:r>
    </w:p>
    <w:p w14:paraId="1D7B2CB1" w14:textId="77777777" w:rsidR="00420645" w:rsidRPr="00420645" w:rsidRDefault="00420645" w:rsidP="00420645">
      <w:pPr>
        <w:ind w:left="568"/>
        <w:rPr>
          <w:bCs/>
        </w:rPr>
      </w:pPr>
    </w:p>
    <w:p w14:paraId="196E3EB2" w14:textId="77777777" w:rsidR="00420645" w:rsidRPr="00420645" w:rsidRDefault="00420645" w:rsidP="00420645">
      <w:pPr>
        <w:numPr>
          <w:ilvl w:val="0"/>
          <w:numId w:val="4"/>
        </w:numPr>
        <w:rPr>
          <w:b/>
          <w:u w:val="single"/>
        </w:rPr>
      </w:pPr>
      <w:r w:rsidRPr="00420645">
        <w:rPr>
          <w:b/>
          <w:u w:val="single"/>
        </w:rPr>
        <w:t>Vote des taxes directes locales</w:t>
      </w:r>
    </w:p>
    <w:p w14:paraId="3567F593" w14:textId="77777777" w:rsidR="00420645" w:rsidRPr="00420645" w:rsidRDefault="00420645" w:rsidP="00420645">
      <w:pPr>
        <w:ind w:left="360"/>
      </w:pPr>
      <w:r w:rsidRPr="00420645">
        <w:t>Le conseil municipal a décidé de ne pas augmenter les taxes directes locales dont les taux sont : taxe foncière bâtie 35.34 %, taxe foncière non bâtie 55 % et taxe d’habitation sur les résidences secondaires 16.65 %.</w:t>
      </w:r>
    </w:p>
    <w:p w14:paraId="7044EA1B" w14:textId="77777777" w:rsidR="00420645" w:rsidRPr="00420645" w:rsidRDefault="00420645" w:rsidP="00420645">
      <w:pPr>
        <w:ind w:left="708"/>
      </w:pPr>
    </w:p>
    <w:p w14:paraId="1ED6089E" w14:textId="77777777" w:rsidR="00420645" w:rsidRPr="00420645" w:rsidRDefault="00420645" w:rsidP="00420645">
      <w:pPr>
        <w:numPr>
          <w:ilvl w:val="0"/>
          <w:numId w:val="4"/>
        </w:numPr>
        <w:rPr>
          <w:b/>
          <w:bCs/>
          <w:u w:val="single"/>
        </w:rPr>
      </w:pPr>
      <w:r w:rsidRPr="00420645">
        <w:rPr>
          <w:b/>
          <w:bCs/>
          <w:u w:val="single"/>
        </w:rPr>
        <w:t>Fixation du loyer de l’appartement au-dessus de la mairie</w:t>
      </w:r>
    </w:p>
    <w:p w14:paraId="14156427" w14:textId="77777777" w:rsidR="00420645" w:rsidRPr="00420645" w:rsidRDefault="00420645" w:rsidP="00420645">
      <w:pPr>
        <w:ind w:left="360"/>
      </w:pPr>
      <w:r w:rsidRPr="00420645">
        <w:t xml:space="preserve">Suite à la rénovation de l’appartement au-dessus de la mairie, la mairie a reçu une demande de location. Le conseil municipal décide de louer cet appartement à Mme Maryline </w:t>
      </w:r>
      <w:proofErr w:type="spellStart"/>
      <w:r w:rsidRPr="00420645">
        <w:t>Labara</w:t>
      </w:r>
      <w:proofErr w:type="spellEnd"/>
      <w:r w:rsidRPr="00420645">
        <w:t xml:space="preserve"> pour un montant mensuel de 370 € plus 50 € de charges.</w:t>
      </w:r>
    </w:p>
    <w:p w14:paraId="13AFDBFA" w14:textId="77777777" w:rsidR="00420645" w:rsidRPr="00420645" w:rsidRDefault="00420645" w:rsidP="00420645">
      <w:pPr>
        <w:ind w:left="708"/>
      </w:pPr>
    </w:p>
    <w:p w14:paraId="5C96B4F3" w14:textId="77777777" w:rsidR="00420645" w:rsidRPr="00420645" w:rsidRDefault="00420645" w:rsidP="00420645">
      <w:pPr>
        <w:numPr>
          <w:ilvl w:val="0"/>
          <w:numId w:val="4"/>
        </w:numPr>
        <w:rPr>
          <w:b/>
          <w:bCs/>
          <w:u w:val="single"/>
        </w:rPr>
      </w:pPr>
      <w:r w:rsidRPr="00420645">
        <w:rPr>
          <w:b/>
          <w:bCs/>
          <w:u w:val="single"/>
        </w:rPr>
        <w:t>Droits de préemption appartements OPAC et maison Meyers</w:t>
      </w:r>
    </w:p>
    <w:p w14:paraId="1CA8B1C9" w14:textId="77777777" w:rsidR="00420645" w:rsidRPr="00420645" w:rsidRDefault="00420645" w:rsidP="00420645">
      <w:pPr>
        <w:ind w:left="360"/>
      </w:pPr>
      <w:r w:rsidRPr="00420645">
        <w:t xml:space="preserve">La commune a reçu plusieurs droits de préemption concernant, tout d’abord 2 appartements dans l’immeuble appartenant à l’OPAC, ainsi que pour la maison de Mr Meyers aux </w:t>
      </w:r>
      <w:proofErr w:type="spellStart"/>
      <w:r w:rsidRPr="00420645">
        <w:t>Maziaux</w:t>
      </w:r>
      <w:proofErr w:type="spellEnd"/>
      <w:r w:rsidRPr="00420645">
        <w:t>. Le conseil municipal n’utilise pas son droit de préemption sur ces 3 biens.</w:t>
      </w:r>
    </w:p>
    <w:p w14:paraId="0EB927E4" w14:textId="77777777" w:rsidR="00420645" w:rsidRPr="00420645" w:rsidRDefault="00420645" w:rsidP="00420645">
      <w:pPr>
        <w:ind w:left="708"/>
      </w:pPr>
    </w:p>
    <w:p w14:paraId="703C0E52" w14:textId="77777777" w:rsidR="00420645" w:rsidRPr="00420645" w:rsidRDefault="00420645" w:rsidP="00420645">
      <w:pPr>
        <w:numPr>
          <w:ilvl w:val="0"/>
          <w:numId w:val="4"/>
        </w:numPr>
        <w:rPr>
          <w:b/>
          <w:bCs/>
          <w:u w:val="single"/>
        </w:rPr>
      </w:pPr>
      <w:r w:rsidRPr="00420645">
        <w:rPr>
          <w:b/>
          <w:bCs/>
          <w:u w:val="single"/>
        </w:rPr>
        <w:t>Compétences eau et assainissement</w:t>
      </w:r>
    </w:p>
    <w:p w14:paraId="4AFE5E58" w14:textId="77777777" w:rsidR="00420645" w:rsidRPr="00420645" w:rsidRDefault="00420645" w:rsidP="00420645">
      <w:pPr>
        <w:ind w:left="360"/>
      </w:pPr>
      <w:r w:rsidRPr="00420645">
        <w:t xml:space="preserve">Suites aux dernières décisions gouvernementales, les compétences eau et assainissement ne devraient plus être transférées aux communautés de communes. Elles deviennent des compétences facultatives pour les EPCI. Aussi la communauté de communes Mézenc Loire </w:t>
      </w:r>
      <w:proofErr w:type="spellStart"/>
      <w:r w:rsidRPr="00420645">
        <w:t>Meygal</w:t>
      </w:r>
      <w:proofErr w:type="spellEnd"/>
      <w:r w:rsidRPr="00420645">
        <w:t xml:space="preserve"> ne souhaite pas prendre cette compétence. Elles restent donc à la charge de la commune ou peuvent être transférées à un syndicat des eaux. Le conseil municipal souhaite recevoir les responsables du syndicat des eaux pour avoir une estimation de ce qu’entrainerait le basculement des budgets eau et assainissement à ce syndicat en matière de coûts pour la commune mais aussi pour les usagers.</w:t>
      </w:r>
    </w:p>
    <w:p w14:paraId="1B7627DE" w14:textId="77777777" w:rsidR="00420645" w:rsidRDefault="00420645" w:rsidP="00420645">
      <w:pPr>
        <w:rPr>
          <w:u w:val="single"/>
        </w:rPr>
      </w:pPr>
    </w:p>
    <w:p w14:paraId="33F62EE6" w14:textId="77777777" w:rsidR="00420645" w:rsidRDefault="00420645" w:rsidP="00420645">
      <w:pPr>
        <w:rPr>
          <w:u w:val="single"/>
        </w:rPr>
      </w:pPr>
    </w:p>
    <w:p w14:paraId="5BF4E901" w14:textId="77777777" w:rsidR="00420645" w:rsidRPr="00420645" w:rsidRDefault="00420645" w:rsidP="00420645">
      <w:pPr>
        <w:rPr>
          <w:u w:val="single"/>
        </w:rPr>
      </w:pPr>
    </w:p>
    <w:p w14:paraId="1EE43795" w14:textId="77777777" w:rsidR="00420645" w:rsidRPr="00420645" w:rsidRDefault="00420645" w:rsidP="00420645">
      <w:pPr>
        <w:numPr>
          <w:ilvl w:val="0"/>
          <w:numId w:val="4"/>
        </w:numPr>
        <w:rPr>
          <w:b/>
          <w:bCs/>
          <w:u w:val="single"/>
        </w:rPr>
      </w:pPr>
      <w:r w:rsidRPr="00420645">
        <w:rPr>
          <w:b/>
          <w:bCs/>
          <w:u w:val="single"/>
        </w:rPr>
        <w:lastRenderedPageBreak/>
        <w:t xml:space="preserve">Achat du pylône de </w:t>
      </w:r>
      <w:proofErr w:type="spellStart"/>
      <w:r w:rsidRPr="00420645">
        <w:rPr>
          <w:b/>
          <w:bCs/>
          <w:u w:val="single"/>
        </w:rPr>
        <w:t>Machabert</w:t>
      </w:r>
      <w:proofErr w:type="spellEnd"/>
    </w:p>
    <w:p w14:paraId="343510FE" w14:textId="77777777" w:rsidR="00420645" w:rsidRPr="00420645" w:rsidRDefault="00420645" w:rsidP="00420645">
      <w:pPr>
        <w:ind w:left="360"/>
      </w:pPr>
      <w:r w:rsidRPr="00420645">
        <w:t xml:space="preserve">Le pylône existant à </w:t>
      </w:r>
      <w:proofErr w:type="spellStart"/>
      <w:r w:rsidRPr="00420645">
        <w:t>Machabert</w:t>
      </w:r>
      <w:proofErr w:type="spellEnd"/>
      <w:r w:rsidRPr="00420645">
        <w:t xml:space="preserve"> va être démonté puisqu’inutilisé. Ce pylône appartient au Département qui le cède à la commune pour l’euro symbolique afin qu’elle puisse le faire démonter.  Le conseil municipal donne son accord.</w:t>
      </w:r>
    </w:p>
    <w:p w14:paraId="72D9AD26" w14:textId="77777777" w:rsidR="00420645" w:rsidRPr="00420645" w:rsidRDefault="00420645" w:rsidP="00420645">
      <w:pPr>
        <w:ind w:left="708"/>
      </w:pPr>
    </w:p>
    <w:p w14:paraId="23D47295" w14:textId="77777777" w:rsidR="00420645" w:rsidRPr="00420645" w:rsidRDefault="00420645" w:rsidP="00420645">
      <w:pPr>
        <w:numPr>
          <w:ilvl w:val="0"/>
          <w:numId w:val="4"/>
        </w:numPr>
        <w:rPr>
          <w:b/>
          <w:bCs/>
          <w:u w:val="single"/>
        </w:rPr>
      </w:pPr>
      <w:r w:rsidRPr="00420645">
        <w:rPr>
          <w:b/>
          <w:bCs/>
          <w:u w:val="single"/>
        </w:rPr>
        <w:t>Skate-park</w:t>
      </w:r>
    </w:p>
    <w:p w14:paraId="283C87A3" w14:textId="77777777" w:rsidR="00420645" w:rsidRPr="00420645" w:rsidRDefault="00420645" w:rsidP="00420645">
      <w:pPr>
        <w:ind w:left="360"/>
      </w:pPr>
      <w:r w:rsidRPr="00420645">
        <w:t xml:space="preserve">Monsieur le Maire a reçu dernièrement un courrier émanant de plusieurs enfants de la commune et des élèves de l’école qui souhaiteraient la réalisation d’un skate-park pour faire du roller, de la trottinette ou encore du vélo. Le conseil municipal approuve ce projet. Il faut dans un premier temps trouver un endroit pour réaliser ce skate-park et ensuite demander des devis. </w:t>
      </w:r>
    </w:p>
    <w:p w14:paraId="352C32F6" w14:textId="77777777" w:rsidR="00420645" w:rsidRPr="00420645" w:rsidRDefault="00420645" w:rsidP="00420645">
      <w:pPr>
        <w:ind w:left="360"/>
      </w:pPr>
      <w:r w:rsidRPr="00420645">
        <w:t>Le conseil municipal a donc validé ce projet et l’a rajouté dans les investissements 2025.</w:t>
      </w:r>
    </w:p>
    <w:p w14:paraId="7BABCA6D" w14:textId="77777777" w:rsidR="00420645" w:rsidRPr="00420645" w:rsidRDefault="00420645" w:rsidP="00420645">
      <w:pPr>
        <w:ind w:left="360"/>
      </w:pPr>
    </w:p>
    <w:p w14:paraId="01531BD1" w14:textId="77777777" w:rsidR="00C87DBF" w:rsidRPr="00BD2692" w:rsidRDefault="00C87DBF" w:rsidP="00F636F3">
      <w:pPr>
        <w:jc w:val="both"/>
        <w:rPr>
          <w:b/>
          <w:sz w:val="32"/>
          <w:szCs w:val="32"/>
        </w:rPr>
      </w:pPr>
    </w:p>
    <w:p w14:paraId="16A61593" w14:textId="77777777" w:rsidR="00BD2692" w:rsidRDefault="00BD2692" w:rsidP="00795E9F">
      <w:pPr>
        <w:pStyle w:val="Paragraphedeliste"/>
        <w:ind w:left="0"/>
        <w:jc w:val="both"/>
      </w:pPr>
    </w:p>
    <w:p w14:paraId="345C931C" w14:textId="77777777" w:rsidR="00BD2692" w:rsidRDefault="00BD2692" w:rsidP="00BD2692">
      <w:pPr>
        <w:rPr>
          <w:bCs/>
        </w:rPr>
      </w:pPr>
    </w:p>
    <w:p w14:paraId="5E846E24" w14:textId="418485A5" w:rsidR="00BD2692" w:rsidRDefault="00BD2692" w:rsidP="00BD2692">
      <w:pPr>
        <w:ind w:left="720"/>
        <w:rPr>
          <w:bCs/>
        </w:rPr>
      </w:pPr>
      <w:r>
        <w:rPr>
          <w:bCs/>
        </w:rPr>
        <w:t>Le Maire</w:t>
      </w:r>
      <w:r>
        <w:rPr>
          <w:bCs/>
        </w:rPr>
        <w:tab/>
      </w:r>
      <w:r>
        <w:rPr>
          <w:bCs/>
        </w:rPr>
        <w:tab/>
      </w:r>
      <w:r>
        <w:rPr>
          <w:bCs/>
        </w:rPr>
        <w:tab/>
      </w:r>
      <w:r>
        <w:rPr>
          <w:bCs/>
        </w:rPr>
        <w:tab/>
      </w:r>
      <w:r>
        <w:rPr>
          <w:bCs/>
        </w:rPr>
        <w:tab/>
      </w:r>
      <w:r>
        <w:rPr>
          <w:bCs/>
        </w:rPr>
        <w:tab/>
      </w:r>
      <w:r>
        <w:rPr>
          <w:bCs/>
        </w:rPr>
        <w:tab/>
        <w:t>L</w:t>
      </w:r>
      <w:r w:rsidR="00C87DBF">
        <w:rPr>
          <w:bCs/>
        </w:rPr>
        <w:t>e</w:t>
      </w:r>
      <w:r>
        <w:rPr>
          <w:bCs/>
        </w:rPr>
        <w:t xml:space="preserve"> secrétaire de séance</w:t>
      </w:r>
    </w:p>
    <w:p w14:paraId="1982342C" w14:textId="21DAA2F9" w:rsidR="00BD2692" w:rsidRPr="002C0923" w:rsidRDefault="00BD2692" w:rsidP="00BD2692">
      <w:pPr>
        <w:ind w:left="720"/>
        <w:rPr>
          <w:bCs/>
        </w:rPr>
      </w:pPr>
      <w:r>
        <w:rPr>
          <w:bCs/>
        </w:rPr>
        <w:t>Philippe DELABRE</w:t>
      </w:r>
      <w:r>
        <w:rPr>
          <w:bCs/>
        </w:rPr>
        <w:tab/>
      </w:r>
      <w:r w:rsidR="00420645">
        <w:rPr>
          <w:bCs/>
        </w:rPr>
        <w:tab/>
      </w:r>
      <w:r w:rsidR="00420645">
        <w:rPr>
          <w:bCs/>
        </w:rPr>
        <w:tab/>
      </w:r>
      <w:r w:rsidR="00420645">
        <w:rPr>
          <w:bCs/>
        </w:rPr>
        <w:tab/>
      </w:r>
      <w:r w:rsidR="00420645">
        <w:rPr>
          <w:bCs/>
        </w:rPr>
        <w:tab/>
      </w:r>
      <w:r w:rsidR="00420645">
        <w:rPr>
          <w:bCs/>
        </w:rPr>
        <w:tab/>
        <w:t>Virginie MONTES</w:t>
      </w:r>
      <w:r>
        <w:rPr>
          <w:bCs/>
        </w:rPr>
        <w:tab/>
      </w:r>
      <w:r>
        <w:rPr>
          <w:bCs/>
        </w:rPr>
        <w:tab/>
      </w:r>
      <w:r>
        <w:rPr>
          <w:bCs/>
        </w:rPr>
        <w:tab/>
      </w:r>
      <w:r>
        <w:rPr>
          <w:bCs/>
        </w:rPr>
        <w:tab/>
      </w:r>
      <w:r>
        <w:rPr>
          <w:bCs/>
        </w:rPr>
        <w:tab/>
      </w:r>
    </w:p>
    <w:p w14:paraId="30B40860" w14:textId="77777777" w:rsidR="00BD2692" w:rsidRDefault="00BD2692" w:rsidP="00795E9F">
      <w:pPr>
        <w:pStyle w:val="Paragraphedeliste"/>
        <w:ind w:left="0"/>
        <w:jc w:val="both"/>
      </w:pPr>
    </w:p>
    <w:sectPr w:rsidR="00BD2692" w:rsidSect="00E57A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33AAA"/>
    <w:multiLevelType w:val="hybridMultilevel"/>
    <w:tmpl w:val="A5F0525A"/>
    <w:lvl w:ilvl="0" w:tplc="76C0457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F44785"/>
    <w:multiLevelType w:val="hybridMultilevel"/>
    <w:tmpl w:val="2BC69DB6"/>
    <w:lvl w:ilvl="0" w:tplc="8F9CDDF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95"/>
        </w:tabs>
        <w:ind w:left="1495"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928"/>
        </w:tabs>
        <w:ind w:left="928"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B584E"/>
    <w:multiLevelType w:val="hybridMultilevel"/>
    <w:tmpl w:val="5C848D66"/>
    <w:lvl w:ilvl="0" w:tplc="30885E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0603735">
    <w:abstractNumId w:val="0"/>
  </w:num>
  <w:num w:numId="2" w16cid:durableId="796214827">
    <w:abstractNumId w:val="1"/>
  </w:num>
  <w:num w:numId="3" w16cid:durableId="1766148997">
    <w:abstractNumId w:val="2"/>
  </w:num>
  <w:num w:numId="4" w16cid:durableId="2116752957">
    <w:abstractNumId w:val="1"/>
    <w:lvlOverride w:ilvl="0"/>
    <w:lvlOverride w:ilvl="1"/>
    <w:lvlOverride w:ilvl="2"/>
    <w:lvlOverride w:ilvl="3"/>
    <w:lvlOverride w:ilvl="4"/>
    <w:lvlOverride w:ilvl="5"/>
    <w:lvlOverride w:ilvl="6"/>
    <w:lvlOverride w:ilvl="7"/>
    <w:lvlOverride w:ilvl="8"/>
  </w:num>
  <w:num w:numId="5" w16cid:durableId="69909332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F3"/>
    <w:rsid w:val="000154C1"/>
    <w:rsid w:val="000C2B7C"/>
    <w:rsid w:val="00166A3E"/>
    <w:rsid w:val="00170AFE"/>
    <w:rsid w:val="001A2809"/>
    <w:rsid w:val="00260675"/>
    <w:rsid w:val="00340E77"/>
    <w:rsid w:val="00363880"/>
    <w:rsid w:val="00420645"/>
    <w:rsid w:val="004220E0"/>
    <w:rsid w:val="00494920"/>
    <w:rsid w:val="004D3A5B"/>
    <w:rsid w:val="00552B68"/>
    <w:rsid w:val="007605D1"/>
    <w:rsid w:val="00795E9F"/>
    <w:rsid w:val="007C58BE"/>
    <w:rsid w:val="00A14CC8"/>
    <w:rsid w:val="00A42D7A"/>
    <w:rsid w:val="00A54EEA"/>
    <w:rsid w:val="00AB7923"/>
    <w:rsid w:val="00BD2692"/>
    <w:rsid w:val="00C87DBF"/>
    <w:rsid w:val="00D36D5A"/>
    <w:rsid w:val="00E57ABE"/>
    <w:rsid w:val="00EF6A4E"/>
    <w:rsid w:val="00F636F3"/>
    <w:rsid w:val="00FA5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657"/>
  <w15:chartTrackingRefBased/>
  <w15:docId w15:val="{2551BC66-7B08-4A9D-8F1D-17E2A92F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F3"/>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 info</dc:creator>
  <cp:keywords/>
  <dc:description/>
  <cp:lastModifiedBy>resp info</cp:lastModifiedBy>
  <cp:revision>2</cp:revision>
  <cp:lastPrinted>2023-09-29T08:24:00Z</cp:lastPrinted>
  <dcterms:created xsi:type="dcterms:W3CDTF">2025-04-03T12:23:00Z</dcterms:created>
  <dcterms:modified xsi:type="dcterms:W3CDTF">2025-04-03T12:23:00Z</dcterms:modified>
</cp:coreProperties>
</file>